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FF" w:rsidRPr="00FC1A2C" w:rsidRDefault="000C1C42" w:rsidP="008B5320">
      <w:pPr>
        <w:pStyle w:val="Nagwek1"/>
      </w:pPr>
      <w:bookmarkStart w:id="0" w:name="_GoBack"/>
      <w:bookmarkEnd w:id="0"/>
      <w:r w:rsidRPr="00FC1A2C">
        <w:t>OBWIESZCZENIE</w:t>
      </w:r>
    </w:p>
    <w:p w:rsidR="008B5320" w:rsidRDefault="008B5320" w:rsidP="00C17D91">
      <w:pPr>
        <w:spacing w:before="240" w:after="0" w:line="360" w:lineRule="auto"/>
        <w:rPr>
          <w:b w:val="0"/>
          <w:szCs w:val="24"/>
        </w:rPr>
      </w:pPr>
      <w:r w:rsidRPr="00A91A1A">
        <w:rPr>
          <w:b w:val="0"/>
          <w:szCs w:val="24"/>
        </w:rPr>
        <w:t xml:space="preserve">Stosownie do wymogów art. 49 ustawy z dnia 14 czerwca 1960 r. </w:t>
      </w:r>
      <w:r w:rsidRPr="00A91A1A">
        <w:rPr>
          <w:b w:val="0"/>
          <w:i/>
          <w:szCs w:val="24"/>
        </w:rPr>
        <w:t>Kodeks postępowania administracyjnego</w:t>
      </w:r>
      <w:r w:rsidRPr="00A91A1A">
        <w:rPr>
          <w:b w:val="0"/>
          <w:szCs w:val="24"/>
        </w:rPr>
        <w:t xml:space="preserve"> (Dz.U.2024.572 tekst jedn.) oraz art. 15 ust. 4 w związku art. 8 ustawy z dnia 24 kwietnia 2009 r. </w:t>
      </w:r>
      <w:r w:rsidRPr="00A91A1A">
        <w:rPr>
          <w:b w:val="0"/>
          <w:i/>
          <w:szCs w:val="24"/>
        </w:rPr>
        <w:t>o inwestycjach w zakresie terminalu regazyfikacyjnego skroplonego gazu ziemnego w Świnoujściu</w:t>
      </w:r>
      <w:r w:rsidRPr="00A91A1A">
        <w:rPr>
          <w:b w:val="0"/>
          <w:szCs w:val="24"/>
        </w:rPr>
        <w:t xml:space="preserve"> (Dz.U.2024.551 tekst jedn.),</w:t>
      </w:r>
    </w:p>
    <w:p w:rsidR="00C17D91" w:rsidRPr="00A91A1A" w:rsidRDefault="00C17D91" w:rsidP="00C17D91">
      <w:pPr>
        <w:spacing w:before="240" w:after="0" w:line="360" w:lineRule="auto"/>
        <w:rPr>
          <w:b w:val="0"/>
          <w:szCs w:val="24"/>
        </w:rPr>
      </w:pPr>
    </w:p>
    <w:p w:rsidR="00ED0B6B" w:rsidRDefault="00FC1A2C" w:rsidP="00003B4D">
      <w:pPr>
        <w:pStyle w:val="Nagwek2"/>
      </w:pPr>
      <w:r>
        <w:t>WOJEWODA MAŁOPOLSKI</w:t>
      </w:r>
    </w:p>
    <w:p w:rsidR="008B5320" w:rsidRPr="003D2D3F" w:rsidRDefault="008B5320" w:rsidP="008B5320">
      <w:pPr>
        <w:spacing w:line="360" w:lineRule="auto"/>
        <w:rPr>
          <w:bCs/>
          <w:szCs w:val="24"/>
        </w:rPr>
      </w:pPr>
      <w:r w:rsidRPr="003D2D3F">
        <w:rPr>
          <w:bCs/>
          <w:szCs w:val="24"/>
        </w:rPr>
        <w:t>zawiadamia o wszczęciu 21 czerwca 2024 r., postępowania ad</w:t>
      </w:r>
      <w:r>
        <w:rPr>
          <w:bCs/>
          <w:szCs w:val="24"/>
        </w:rPr>
        <w:t>ministracyjnego, na </w:t>
      </w:r>
      <w:r w:rsidRPr="003D2D3F">
        <w:rPr>
          <w:bCs/>
          <w:szCs w:val="24"/>
        </w:rPr>
        <w:t xml:space="preserve">wniosek </w:t>
      </w:r>
      <w:r w:rsidRPr="00A91A1A">
        <w:rPr>
          <w:b w:val="0"/>
          <w:bCs/>
          <w:szCs w:val="24"/>
        </w:rPr>
        <w:t xml:space="preserve">z 19.06.2024 r. </w:t>
      </w:r>
      <w:r w:rsidRPr="00A91A1A">
        <w:rPr>
          <w:b w:val="0"/>
          <w:szCs w:val="24"/>
        </w:rPr>
        <w:t xml:space="preserve">(uzupełniony za pośrednictwem za platformy </w:t>
      </w:r>
      <w:proofErr w:type="spellStart"/>
      <w:r w:rsidRPr="00A91A1A">
        <w:rPr>
          <w:b w:val="0"/>
          <w:szCs w:val="24"/>
        </w:rPr>
        <w:t>ePUAP</w:t>
      </w:r>
      <w:proofErr w:type="spellEnd"/>
      <w:r w:rsidRPr="00A91A1A">
        <w:rPr>
          <w:b w:val="0"/>
          <w:szCs w:val="24"/>
        </w:rPr>
        <w:t xml:space="preserve"> 26</w:t>
      </w:r>
      <w:r w:rsidR="00741B6E">
        <w:rPr>
          <w:b w:val="0"/>
          <w:szCs w:val="24"/>
        </w:rPr>
        <w:t> </w:t>
      </w:r>
      <w:r w:rsidRPr="00A91A1A">
        <w:rPr>
          <w:b w:val="0"/>
          <w:szCs w:val="24"/>
        </w:rPr>
        <w:t>czerwca 2024 r.</w:t>
      </w:r>
      <w:r w:rsidR="00C17D91">
        <w:rPr>
          <w:b w:val="0"/>
          <w:szCs w:val="24"/>
        </w:rPr>
        <w:t xml:space="preserve"> </w:t>
      </w:r>
      <w:r w:rsidRPr="00A91A1A">
        <w:rPr>
          <w:b w:val="0"/>
          <w:szCs w:val="24"/>
        </w:rPr>
        <w:t>oraz 10 lipca 2024 r. i 12</w:t>
      </w:r>
      <w:r w:rsidRPr="00A91A1A">
        <w:rPr>
          <w:b w:val="0"/>
          <w:color w:val="FF0000"/>
          <w:szCs w:val="24"/>
        </w:rPr>
        <w:t xml:space="preserve"> </w:t>
      </w:r>
      <w:r w:rsidRPr="00A91A1A">
        <w:rPr>
          <w:b w:val="0"/>
          <w:szCs w:val="24"/>
        </w:rPr>
        <w:t>lipca 2024 r</w:t>
      </w:r>
      <w:r w:rsidR="00C17D91">
        <w:rPr>
          <w:b w:val="0"/>
          <w:szCs w:val="24"/>
        </w:rPr>
        <w:t xml:space="preserve"> </w:t>
      </w:r>
      <w:r w:rsidR="00B346D2">
        <w:rPr>
          <w:b w:val="0"/>
          <w:szCs w:val="24"/>
        </w:rPr>
        <w:t>w odpowiedzi na wezwanie z </w:t>
      </w:r>
      <w:r w:rsidRPr="00A91A1A">
        <w:rPr>
          <w:b w:val="0"/>
          <w:szCs w:val="24"/>
        </w:rPr>
        <w:t xml:space="preserve">02.07.2024 r.) </w:t>
      </w:r>
      <w:r w:rsidRPr="00A91A1A">
        <w:rPr>
          <w:b w:val="0"/>
          <w:bCs/>
          <w:szCs w:val="24"/>
        </w:rPr>
        <w:t>złożony przez</w:t>
      </w:r>
      <w:r w:rsidRPr="003D2D3F">
        <w:rPr>
          <w:bCs/>
          <w:szCs w:val="24"/>
        </w:rPr>
        <w:t xml:space="preserve"> inwestora: Polska </w:t>
      </w:r>
      <w:r w:rsidRPr="003D2D3F">
        <w:rPr>
          <w:szCs w:val="24"/>
        </w:rPr>
        <w:t>Spółka Gazownictwa sp. z o.o., ul. Wojciecha Bandrowskiego 16, 33-100 Tarnów</w:t>
      </w:r>
      <w:r w:rsidRPr="003D2D3F">
        <w:rPr>
          <w:bCs/>
          <w:szCs w:val="24"/>
        </w:rPr>
        <w:t>,</w:t>
      </w:r>
    </w:p>
    <w:p w:rsidR="008B5320" w:rsidRPr="003D2D3F" w:rsidRDefault="008B5320" w:rsidP="008B5320">
      <w:pPr>
        <w:spacing w:line="360" w:lineRule="auto"/>
        <w:rPr>
          <w:szCs w:val="24"/>
        </w:rPr>
      </w:pPr>
      <w:r w:rsidRPr="003D2D3F">
        <w:rPr>
          <w:szCs w:val="24"/>
        </w:rPr>
        <w:t>w sprawie</w:t>
      </w:r>
    </w:p>
    <w:p w:rsidR="008B5320" w:rsidRPr="00A91A1A" w:rsidRDefault="008B5320" w:rsidP="00B346D2">
      <w:pPr>
        <w:spacing w:before="0" w:after="120" w:line="360" w:lineRule="auto"/>
        <w:rPr>
          <w:b w:val="0"/>
          <w:i/>
          <w:szCs w:val="24"/>
        </w:rPr>
      </w:pPr>
      <w:r w:rsidRPr="003D2D3F">
        <w:rPr>
          <w:szCs w:val="24"/>
        </w:rPr>
        <w:t>wydania decyzji o udzieleniu pozwolenia na budowę inwestycji pn.:</w:t>
      </w:r>
      <w:r w:rsidR="00C17D91">
        <w:rPr>
          <w:szCs w:val="24"/>
        </w:rPr>
        <w:t xml:space="preserve"> </w:t>
      </w:r>
      <w:r w:rsidRPr="003D2D3F">
        <w:rPr>
          <w:i/>
          <w:szCs w:val="24"/>
        </w:rPr>
        <w:t>Budowa sieci gazowej gazociągu ś/c dn 250 i przyłącza gazu w miejscowościach Chełmek, Bobrek</w:t>
      </w:r>
      <w:r w:rsidR="00C17D91">
        <w:rPr>
          <w:i/>
          <w:szCs w:val="24"/>
        </w:rPr>
        <w:t xml:space="preserve"> </w:t>
      </w:r>
      <w:r w:rsidRPr="003D2D3F">
        <w:rPr>
          <w:i/>
          <w:szCs w:val="24"/>
        </w:rPr>
        <w:t xml:space="preserve">i Gorzów, </w:t>
      </w:r>
      <w:r w:rsidRPr="00A91A1A">
        <w:rPr>
          <w:b w:val="0"/>
          <w:i/>
          <w:szCs w:val="24"/>
        </w:rPr>
        <w:t>w ramach inwestycji pn.:</w:t>
      </w:r>
      <w:r w:rsidRPr="003D2D3F">
        <w:rPr>
          <w:i/>
          <w:szCs w:val="24"/>
        </w:rPr>
        <w:t xml:space="preserve"> „Budowa sieci gazowej gazociągu ś/c PE dn 250 w miejscowości Chełmek, pow. oświęcimski na odcinku od stacji gazowej I st. Gorzów ul. Oświęcimska do ul. Plac Jana Kilińskiego 1 </w:t>
      </w:r>
      <w:r w:rsidR="00C17D91">
        <w:rPr>
          <w:b w:val="0"/>
          <w:i/>
          <w:szCs w:val="24"/>
        </w:rPr>
        <w:t>–</w:t>
      </w:r>
      <w:r w:rsidRPr="00A91A1A">
        <w:rPr>
          <w:b w:val="0"/>
          <w:i/>
          <w:szCs w:val="24"/>
        </w:rPr>
        <w:t xml:space="preserve"> PSGKR.ZZSP.902.483.22</w:t>
      </w:r>
      <w:r w:rsidR="00C17D91" w:rsidRPr="00C17D91">
        <w:rPr>
          <w:i/>
          <w:szCs w:val="24"/>
        </w:rPr>
        <w:t>”</w:t>
      </w:r>
      <w:r w:rsidRPr="00C17D91">
        <w:rPr>
          <w:b w:val="0"/>
          <w:i/>
          <w:szCs w:val="24"/>
        </w:rPr>
        <w:t xml:space="preserve">; </w:t>
      </w:r>
    </w:p>
    <w:p w:rsidR="008B5320" w:rsidRPr="00A91A1A" w:rsidRDefault="008B5320" w:rsidP="00B346D2">
      <w:pPr>
        <w:spacing w:before="0" w:after="120" w:line="360" w:lineRule="auto"/>
        <w:rPr>
          <w:b w:val="0"/>
          <w:szCs w:val="24"/>
        </w:rPr>
      </w:pPr>
      <w:r w:rsidRPr="00A91A1A">
        <w:rPr>
          <w:b w:val="0"/>
          <w:szCs w:val="24"/>
        </w:rPr>
        <w:t xml:space="preserve">Dane nieruchomości (miejsce wykonywania robót budowlanych): </w:t>
      </w:r>
    </w:p>
    <w:p w:rsidR="008B5320" w:rsidRPr="003D2D3F" w:rsidRDefault="008B5320" w:rsidP="00B346D2">
      <w:pPr>
        <w:spacing w:before="0" w:after="120" w:line="360" w:lineRule="auto"/>
        <w:rPr>
          <w:szCs w:val="24"/>
        </w:rPr>
      </w:pPr>
      <w:r w:rsidRPr="003D2D3F">
        <w:rPr>
          <w:szCs w:val="24"/>
        </w:rPr>
        <w:t>województwo małopolskie, powiat oświęcimski, gmina Chełmek, miejscowości: Chełmek, Bobrek</w:t>
      </w:r>
      <w:r w:rsidRPr="003D2D3F">
        <w:rPr>
          <w:color w:val="92D050"/>
          <w:szCs w:val="24"/>
        </w:rPr>
        <w:t xml:space="preserve"> </w:t>
      </w:r>
      <w:r w:rsidRPr="003D2D3F">
        <w:rPr>
          <w:szCs w:val="24"/>
        </w:rPr>
        <w:t>i</w:t>
      </w:r>
      <w:r w:rsidR="00C17D91">
        <w:rPr>
          <w:szCs w:val="24"/>
        </w:rPr>
        <w:t xml:space="preserve"> </w:t>
      </w:r>
      <w:r w:rsidRPr="003D2D3F">
        <w:rPr>
          <w:szCs w:val="24"/>
        </w:rPr>
        <w:t>Gorzów, kod pocztowy</w:t>
      </w:r>
      <w:r w:rsidRPr="003D2D3F">
        <w:rPr>
          <w:color w:val="000000" w:themeColor="text1"/>
          <w:szCs w:val="24"/>
        </w:rPr>
        <w:t xml:space="preserve">: 32-660, </w:t>
      </w:r>
    </w:p>
    <w:p w:rsidR="008B5320" w:rsidRPr="00A91A1A" w:rsidRDefault="008B5320" w:rsidP="00B346D2">
      <w:pPr>
        <w:spacing w:before="0" w:after="120" w:line="360" w:lineRule="auto"/>
        <w:rPr>
          <w:b w:val="0"/>
          <w:szCs w:val="24"/>
        </w:rPr>
      </w:pPr>
      <w:r w:rsidRPr="00A91A1A">
        <w:rPr>
          <w:b w:val="0"/>
          <w:szCs w:val="24"/>
        </w:rPr>
        <w:t>jednostka ewidencyjna: 121303_5</w:t>
      </w:r>
      <w:r w:rsidR="00A91A1A" w:rsidRPr="00A91A1A">
        <w:rPr>
          <w:b w:val="0"/>
          <w:szCs w:val="24"/>
        </w:rPr>
        <w:t xml:space="preserve"> Chełmek – obszar wiejski:</w:t>
      </w:r>
    </w:p>
    <w:p w:rsidR="008B5320" w:rsidRPr="003D2D3F" w:rsidRDefault="008B5320" w:rsidP="00B346D2">
      <w:pPr>
        <w:spacing w:before="0" w:after="120" w:line="360" w:lineRule="auto"/>
        <w:rPr>
          <w:b w:val="0"/>
          <w:szCs w:val="24"/>
        </w:rPr>
      </w:pPr>
      <w:r w:rsidRPr="00A91A1A">
        <w:rPr>
          <w:b w:val="0"/>
          <w:szCs w:val="24"/>
        </w:rPr>
        <w:lastRenderedPageBreak/>
        <w:t>obręb 0002 Gorzów</w:t>
      </w:r>
      <w:r w:rsidRPr="003D2D3F">
        <w:rPr>
          <w:szCs w:val="24"/>
        </w:rPr>
        <w:t xml:space="preserve">, identyfikatory działek ewidencyjnych: </w:t>
      </w:r>
    </w:p>
    <w:p w:rsidR="008B5320" w:rsidRPr="003D2D3F" w:rsidRDefault="008B5320" w:rsidP="00B346D2">
      <w:pPr>
        <w:spacing w:before="0" w:after="120" w:line="360" w:lineRule="auto"/>
        <w:rPr>
          <w:szCs w:val="24"/>
        </w:rPr>
      </w:pPr>
      <w:r w:rsidRPr="003D2D3F">
        <w:rPr>
          <w:szCs w:val="24"/>
        </w:rPr>
        <w:t xml:space="preserve">121303_5.0002.855/4, 121303_5.0002.1773, 121303_5.0002.851, 121303_5.0002.852/1, 121303_5.0002.852/3, </w:t>
      </w:r>
      <w:r w:rsidRPr="00A91A1A">
        <w:rPr>
          <w:color w:val="000000" w:themeColor="text1"/>
          <w:szCs w:val="24"/>
        </w:rPr>
        <w:t>121303_5.0002.855/5;</w:t>
      </w:r>
    </w:p>
    <w:p w:rsidR="008B5320" w:rsidRPr="003D2D3F" w:rsidRDefault="008B5320" w:rsidP="00B346D2">
      <w:pPr>
        <w:spacing w:before="0" w:after="120" w:line="360" w:lineRule="auto"/>
        <w:rPr>
          <w:szCs w:val="24"/>
        </w:rPr>
      </w:pPr>
      <w:r w:rsidRPr="003D2D3F">
        <w:rPr>
          <w:szCs w:val="24"/>
        </w:rPr>
        <w:t xml:space="preserve">obręb 0001 Bobrek, identyfikatory działek ewidencyjnych: 121303_5.0001.1277/7, 121303_5.0001.1282, 121303_5.0001.1283, 121303_5.0001.1278, 121303_5.0001.1274/8, 121303_5.0001.1274/5, 121303_5.0001.1274/6, 121303_5.0001.1274/7, </w:t>
      </w:r>
    </w:p>
    <w:p w:rsidR="008B5320" w:rsidRPr="00A91A1A" w:rsidRDefault="008B5320" w:rsidP="00B346D2">
      <w:pPr>
        <w:spacing w:before="0" w:after="120" w:line="360" w:lineRule="auto"/>
        <w:rPr>
          <w:b w:val="0"/>
          <w:szCs w:val="24"/>
        </w:rPr>
      </w:pPr>
      <w:r w:rsidRPr="00A91A1A">
        <w:rPr>
          <w:b w:val="0"/>
          <w:szCs w:val="24"/>
        </w:rPr>
        <w:t>jednostka ewidencyjna: 121303_4</w:t>
      </w:r>
      <w:r w:rsidR="00A91A1A" w:rsidRPr="00A91A1A">
        <w:rPr>
          <w:b w:val="0"/>
          <w:szCs w:val="24"/>
        </w:rPr>
        <w:t xml:space="preserve"> Chełmek </w:t>
      </w:r>
      <w:r w:rsidR="00B346D2">
        <w:rPr>
          <w:b w:val="0"/>
          <w:szCs w:val="24"/>
        </w:rPr>
        <w:t>–</w:t>
      </w:r>
      <w:r w:rsidR="00A91A1A" w:rsidRPr="00A91A1A">
        <w:rPr>
          <w:b w:val="0"/>
          <w:szCs w:val="24"/>
        </w:rPr>
        <w:t xml:space="preserve"> miasto</w:t>
      </w:r>
      <w:r w:rsidRPr="00A91A1A">
        <w:rPr>
          <w:b w:val="0"/>
          <w:szCs w:val="24"/>
        </w:rPr>
        <w:t xml:space="preserve">, </w:t>
      </w:r>
    </w:p>
    <w:p w:rsidR="008B5320" w:rsidRPr="003D2D3F" w:rsidRDefault="008B5320" w:rsidP="00B346D2">
      <w:pPr>
        <w:widowControl w:val="0"/>
        <w:spacing w:before="0" w:after="120" w:line="360" w:lineRule="auto"/>
        <w:ind w:right="-1"/>
        <w:rPr>
          <w:szCs w:val="24"/>
        </w:rPr>
      </w:pPr>
      <w:r w:rsidRPr="00A91A1A">
        <w:rPr>
          <w:b w:val="0"/>
          <w:szCs w:val="24"/>
        </w:rPr>
        <w:t>obręb 0001 Chełmek</w:t>
      </w:r>
      <w:r w:rsidRPr="003D2D3F">
        <w:rPr>
          <w:szCs w:val="24"/>
        </w:rPr>
        <w:t xml:space="preserve">, identyfikatory działek ewidencyjnych: </w:t>
      </w:r>
    </w:p>
    <w:p w:rsidR="008B5320" w:rsidRDefault="008B5320" w:rsidP="00B346D2">
      <w:pPr>
        <w:widowControl w:val="0"/>
        <w:spacing w:before="0" w:after="120" w:line="360" w:lineRule="auto"/>
        <w:ind w:right="-1"/>
        <w:rPr>
          <w:szCs w:val="24"/>
        </w:rPr>
      </w:pPr>
      <w:r w:rsidRPr="003D2D3F">
        <w:rPr>
          <w:szCs w:val="24"/>
        </w:rPr>
        <w:t>121303_4.0001.2482, 121303_4.0001.2501, 121303_4.0001.2478/3, 121303_4.0001.2507/1, 121303_4.0001.2488/8, 121303_4.0001.2488/9, 121303_4.0001.2488/7, 121303_4.0001.2488/6, 121303_4.0001.2488/5, 121303_4.0001.1075/77, 121303_4.0001.3312, 121303_4.0001.999/18, 121303_4.0001.999/17, 121303_4.0001.999/6, 121303_4.0001.999/5, 121303_4.0001.957/8, 121303_4.0001.957/7, 121303_4.0001.957/6, 121303_4.0001.957/9, 121303_4.0001.956/14, 121303_4.0001.956/9, 121303_4.0001.956/12, 121303_4.0001.948/11, 121303_4.0001.948/7, 121303_4.0001.948/8, 121303_4.0001.947/9, 121303_4.0001.947/14, 121303_4.0001.940/5, 121303_4.0001.940/4, 121303_4.0001.2536/3, 121303_4.0001.3207, 121303_4.0001.3208, 121303_4.0001.3206, 121303_4.0001.816/4, 121303_4.0001.836/436,</w:t>
      </w:r>
      <w:r w:rsidR="00C17D91">
        <w:rPr>
          <w:szCs w:val="24"/>
        </w:rPr>
        <w:t xml:space="preserve"> </w:t>
      </w:r>
      <w:r w:rsidRPr="003D2D3F">
        <w:rPr>
          <w:szCs w:val="24"/>
        </w:rPr>
        <w:t xml:space="preserve">121303_4.0001.836/473, 121303_4.0001.836/474, 121303_4.0001.830/12, 121303_4.0001.836/467, 121303_4.0001.834/73, 121303_4.0001.836/177, </w:t>
      </w:r>
      <w:r w:rsidRPr="00A91A1A">
        <w:rPr>
          <w:szCs w:val="24"/>
        </w:rPr>
        <w:t>121303_4.0001.999/20, 121303_4.0001.957/10,</w:t>
      </w:r>
      <w:r w:rsidR="00C17D91">
        <w:rPr>
          <w:szCs w:val="24"/>
        </w:rPr>
        <w:t xml:space="preserve"> </w:t>
      </w:r>
      <w:r w:rsidRPr="00A91A1A">
        <w:rPr>
          <w:szCs w:val="24"/>
        </w:rPr>
        <w:t>121303_4.0001.948/12,</w:t>
      </w:r>
      <w:r w:rsidR="00C17D91">
        <w:rPr>
          <w:szCs w:val="24"/>
        </w:rPr>
        <w:t xml:space="preserve"> </w:t>
      </w:r>
      <w:r w:rsidRPr="00A91A1A">
        <w:rPr>
          <w:szCs w:val="24"/>
        </w:rPr>
        <w:t>121303_4.0001.834/57.</w:t>
      </w:r>
    </w:p>
    <w:p w:rsidR="00C17D91" w:rsidRDefault="00C17D91" w:rsidP="008B5320">
      <w:pPr>
        <w:widowControl w:val="0"/>
        <w:spacing w:line="360" w:lineRule="auto"/>
        <w:ind w:right="-1"/>
        <w:rPr>
          <w:szCs w:val="24"/>
        </w:rPr>
        <w:sectPr w:rsidR="00C17D91" w:rsidSect="00C17D91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7" w:h="16840"/>
          <w:pgMar w:top="851" w:right="1418" w:bottom="1418" w:left="1418" w:header="680" w:footer="680" w:gutter="0"/>
          <w:cols w:space="708"/>
          <w:titlePg/>
          <w:docGrid w:linePitch="328"/>
          <w15:footnoteColumns w:val="1"/>
        </w:sectPr>
      </w:pPr>
    </w:p>
    <w:p w:rsidR="00C17D91" w:rsidRPr="00C17D91" w:rsidRDefault="00C17D91" w:rsidP="008B5320">
      <w:pPr>
        <w:widowControl w:val="0"/>
        <w:spacing w:line="360" w:lineRule="auto"/>
        <w:ind w:right="-1"/>
        <w:rPr>
          <w:sz w:val="2"/>
          <w:szCs w:val="24"/>
        </w:rPr>
      </w:pPr>
    </w:p>
    <w:p w:rsidR="00C17D91" w:rsidRPr="00C17D91" w:rsidRDefault="00C17D91" w:rsidP="00C17D91">
      <w:pPr>
        <w:spacing w:before="0" w:after="0"/>
        <w:jc w:val="center"/>
        <w:rPr>
          <w:rFonts w:ascii="Arial Narrow" w:hAnsi="Arial Narrow" w:cs="Calibri"/>
          <w:sz w:val="2"/>
        </w:rPr>
        <w:sectPr w:rsidR="00C17D91" w:rsidRPr="00C17D91" w:rsidSect="00B346D2">
          <w:endnotePr>
            <w:numFmt w:val="decimal"/>
          </w:endnotePr>
          <w:type w:val="continuous"/>
          <w:pgSz w:w="11907" w:h="16840"/>
          <w:pgMar w:top="851" w:right="1418" w:bottom="1418" w:left="1418" w:header="680" w:footer="0" w:gutter="0"/>
          <w:cols w:space="708"/>
          <w:docGrid w:linePitch="328"/>
          <w15:footnoteColumns w:val="1"/>
        </w:sectPr>
      </w:pPr>
    </w:p>
    <w:tbl>
      <w:tblPr>
        <w:tblW w:w="2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556"/>
      </w:tblGrid>
      <w:tr w:rsidR="00C17D91" w:rsidRPr="00C17D91" w:rsidTr="00B346D2">
        <w:trPr>
          <w:trHeight w:val="53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noWrap/>
            <w:vAlign w:val="center"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sz w:val="20"/>
              </w:rPr>
            </w:pPr>
            <w:r w:rsidRPr="00C17D91">
              <w:rPr>
                <w:rFonts w:ascii="Arial Narrow" w:hAnsi="Arial Narrow" w:cs="Calibri"/>
                <w:sz w:val="20"/>
              </w:rPr>
              <w:t>lp.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noWrap/>
            <w:vAlign w:val="center"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sz w:val="20"/>
              </w:rPr>
            </w:pPr>
            <w:r w:rsidRPr="00C17D91">
              <w:rPr>
                <w:rFonts w:ascii="Arial Narrow" w:hAnsi="Arial Narrow" w:cs="Calibri"/>
                <w:sz w:val="20"/>
              </w:rPr>
              <w:t>nr działki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sz w:val="20"/>
              </w:rPr>
            </w:pPr>
            <w:r w:rsidRPr="00C17D91">
              <w:rPr>
                <w:rFonts w:ascii="Arial Narrow" w:hAnsi="Arial Narrow" w:cs="Calibri"/>
                <w:sz w:val="20"/>
              </w:rPr>
              <w:t>księga wieczysta</w:t>
            </w:r>
          </w:p>
        </w:tc>
      </w:tr>
      <w:tr w:rsidR="00C17D91" w:rsidRPr="00C17D91" w:rsidTr="00B346D2">
        <w:trPr>
          <w:trHeight w:val="538"/>
        </w:trPr>
        <w:tc>
          <w:tcPr>
            <w:tcW w:w="2832" w:type="dxa"/>
            <w:gridSpan w:val="3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:rsidR="00C17D91" w:rsidRPr="00C17D91" w:rsidRDefault="00C17D91" w:rsidP="00C17D91">
            <w:pPr>
              <w:spacing w:before="0" w:after="0"/>
              <w:rPr>
                <w:rFonts w:ascii="Arial Narrow" w:hAnsi="Arial Narrow" w:cs="Calibri"/>
                <w:b w:val="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sz w:val="20"/>
              </w:rPr>
              <w:t xml:space="preserve">jednostka ewidencyjna </w:t>
            </w:r>
            <w:r w:rsidRPr="00C17D91">
              <w:rPr>
                <w:rFonts w:ascii="Arial Narrow" w:hAnsi="Arial Narrow" w:cs="Calibri"/>
                <w:b w:val="0"/>
                <w:bCs/>
                <w:sz w:val="20"/>
              </w:rPr>
              <w:t>121303_4 Chełmek – miasto</w:t>
            </w:r>
          </w:p>
        </w:tc>
      </w:tr>
      <w:tr w:rsidR="00C17D91" w:rsidRPr="00C17D91" w:rsidTr="00B346D2">
        <w:trPr>
          <w:trHeight w:val="295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:rsidR="00C17D91" w:rsidRPr="00C17D91" w:rsidRDefault="00C17D91" w:rsidP="00C17D91">
            <w:pPr>
              <w:spacing w:before="0" w:after="0"/>
              <w:rPr>
                <w:rFonts w:ascii="Arial Narrow" w:hAnsi="Arial Narrow" w:cs="Calibri"/>
                <w:b w:val="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sz w:val="20"/>
              </w:rPr>
              <w:t xml:space="preserve">obręb </w:t>
            </w:r>
            <w:r w:rsidRPr="00C17D91">
              <w:rPr>
                <w:rFonts w:ascii="Arial Narrow" w:hAnsi="Arial Narrow" w:cs="Calibri"/>
                <w:b w:val="0"/>
                <w:bCs/>
                <w:sz w:val="20"/>
              </w:rPr>
              <w:t>0001 Chełmek</w:t>
            </w:r>
          </w:p>
        </w:tc>
      </w:tr>
      <w:tr w:rsidR="00C17D91" w:rsidRPr="00C17D91" w:rsidTr="00B346D2">
        <w:trPr>
          <w:trHeight w:val="2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b w:val="0"/>
                <w:color w:val="00000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color w:val="00000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816/4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KR1E/00045019/7</w:t>
            </w:r>
          </w:p>
        </w:tc>
      </w:tr>
      <w:tr w:rsidR="00C17D91" w:rsidRPr="00C17D91" w:rsidTr="00B346D2">
        <w:trPr>
          <w:trHeight w:val="2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b w:val="0"/>
                <w:color w:val="00000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830/12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KR1E/00051675/8</w:t>
            </w:r>
          </w:p>
        </w:tc>
      </w:tr>
      <w:tr w:rsidR="00C17D91" w:rsidRPr="00C17D91" w:rsidTr="00B346D2">
        <w:trPr>
          <w:trHeight w:val="2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b w:val="0"/>
                <w:color w:val="00000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834/57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KR1E/00041138/9</w:t>
            </w:r>
          </w:p>
        </w:tc>
      </w:tr>
      <w:tr w:rsidR="00C17D91" w:rsidRPr="00C17D91" w:rsidTr="00B346D2">
        <w:trPr>
          <w:trHeight w:val="2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b w:val="0"/>
                <w:color w:val="00000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834/73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KR1E/00040211/8</w:t>
            </w:r>
          </w:p>
        </w:tc>
      </w:tr>
      <w:tr w:rsidR="00C17D91" w:rsidRPr="00C17D91" w:rsidTr="00B346D2">
        <w:trPr>
          <w:trHeight w:val="2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7D91" w:rsidRPr="00C17D91" w:rsidRDefault="00C17D91" w:rsidP="00C17D91">
            <w:pPr>
              <w:spacing w:before="0" w:after="0"/>
              <w:jc w:val="center"/>
              <w:rPr>
                <w:rFonts w:ascii="Arial Narrow" w:hAnsi="Arial Narrow" w:cs="Calibri"/>
                <w:b w:val="0"/>
                <w:color w:val="00000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836/177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KR1E/00041493/5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836/436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KR1E/00038170/1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836/467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KR1E/00056798/1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836/473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KR1E/00061740/8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836/474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KR1E/00038170/1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940/4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KR1E/00061637/3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940/5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KW 25807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947/9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KR1E/00027163/9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947/14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KR1E/00025859/1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948/7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KR1E/00022088/4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948/8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KR1E/00070543/3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948/11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KR1E/00027397/8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948/12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KR1E/00070542/6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956/9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KR1E/00051594/6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956/12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KR1E/00051594/6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956/14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KR1E/00052425/8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957/6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KR1E/00036826/1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957/7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KR1E/00051594/6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957/8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KR1E/00054929/5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957/9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KR1E/00054931/2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957/10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KR1E/00051594/6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lastRenderedPageBreak/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999/5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KR1E/00050686/1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999/6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KR1E/00050686/1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999/17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KR1E/00050686/1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999/18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KR1E/00050686/1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999/20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KR1E/00050686/1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1075/77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KR1E/00024296/9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2478/3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-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-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2488/5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KR1E/00020492/5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2488/6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KR1E/00032180/2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2488/7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KR1E/00019656/3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2488/8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KR1E/00030612/6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2488/9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KR1E/00028763/2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2501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KR1E/00018689/6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2507/1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KR1E/00050710/9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2536/3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KR1E/00060160/1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3206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KR1E/00024296/9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3207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KR1E/00061637/3</w:t>
            </w:r>
          </w:p>
        </w:tc>
      </w:tr>
      <w:tr w:rsidR="00C17D91" w:rsidRPr="00C17D91" w:rsidTr="00C17D91">
        <w:trPr>
          <w:trHeight w:val="284"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44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3208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KR1E/00023009/4</w:t>
            </w:r>
          </w:p>
        </w:tc>
      </w:tr>
      <w:tr w:rsidR="00C17D91" w:rsidRPr="00C17D91" w:rsidTr="00C17D91">
        <w:trPr>
          <w:trHeight w:val="28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3312</w:t>
            </w: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spacing w:val="-6"/>
                <w:w w:val="105"/>
                <w:sz w:val="20"/>
              </w:rPr>
              <w:t>KR1E/00024296/9</w:t>
            </w:r>
          </w:p>
        </w:tc>
      </w:tr>
      <w:tr w:rsidR="00C17D91" w:rsidRPr="00C17D91" w:rsidTr="00C17D91">
        <w:trPr>
          <w:trHeight w:val="545"/>
        </w:trPr>
        <w:tc>
          <w:tcPr>
            <w:tcW w:w="2832" w:type="dxa"/>
            <w:gridSpan w:val="3"/>
            <w:tcBorders>
              <w:top w:val="single" w:sz="2" w:space="0" w:color="auto"/>
            </w:tcBorders>
            <w:shd w:val="clear" w:color="auto" w:fill="D9D9D9"/>
            <w:noWrap/>
            <w:vAlign w:val="center"/>
          </w:tcPr>
          <w:p w:rsidR="00C17D91" w:rsidRPr="00C17D91" w:rsidRDefault="00C17D91" w:rsidP="00C17D91">
            <w:pPr>
              <w:spacing w:before="0" w:after="0"/>
              <w:rPr>
                <w:rFonts w:ascii="Arial Narrow" w:hAnsi="Arial Narrow" w:cs="Calibri"/>
                <w:b w:val="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sz w:val="20"/>
              </w:rPr>
              <w:t xml:space="preserve">jednostka ewidencyjna </w:t>
            </w:r>
            <w:r w:rsidRPr="00C17D91">
              <w:rPr>
                <w:rFonts w:ascii="Arial Narrow" w:hAnsi="Arial Narrow" w:cs="Calibri"/>
                <w:b w:val="0"/>
                <w:bCs/>
                <w:sz w:val="20"/>
              </w:rPr>
              <w:t>121303_5 Chełmek – obszar wiejski</w:t>
            </w:r>
          </w:p>
        </w:tc>
      </w:tr>
      <w:tr w:rsidR="00C17D91" w:rsidRPr="00C17D91" w:rsidTr="008E1473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:rsidR="00C17D91" w:rsidRPr="00C17D91" w:rsidRDefault="00C17D91" w:rsidP="00C17D91">
            <w:pPr>
              <w:spacing w:before="0" w:after="0"/>
              <w:rPr>
                <w:rFonts w:ascii="Arial Narrow" w:hAnsi="Arial Narrow" w:cs="Calibri"/>
                <w:b w:val="0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sz w:val="20"/>
              </w:rPr>
              <w:t xml:space="preserve">obręb </w:t>
            </w:r>
            <w:r w:rsidRPr="00C17D91">
              <w:rPr>
                <w:rFonts w:ascii="Arial Narrow" w:hAnsi="Arial Narrow" w:cs="Calibri"/>
                <w:b w:val="0"/>
                <w:bCs/>
                <w:sz w:val="20"/>
              </w:rPr>
              <w:t>0001 Bobrek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1274/5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KR1E/00051504/9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1274/6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KR1E/00051504/9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1274/7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KR1E/00051504/9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1274/8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KR1E/00051504/9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1277/7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KR1E/00037986/7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1278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KR1E/00037986/7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1282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KR1E/00037986/7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1283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  <w:t>KR1E/00037986/7</w:t>
            </w:r>
          </w:p>
        </w:tc>
      </w:tr>
      <w:tr w:rsidR="00C17D91" w:rsidRPr="00C17D91" w:rsidTr="008E1473">
        <w:trPr>
          <w:trHeight w:val="284"/>
        </w:trPr>
        <w:tc>
          <w:tcPr>
            <w:tcW w:w="2832" w:type="dxa"/>
            <w:gridSpan w:val="3"/>
            <w:shd w:val="clear" w:color="auto" w:fill="F2F2F2" w:themeFill="background1" w:themeFillShade="F2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</w:rPr>
            </w:pPr>
            <w:r w:rsidRPr="00C17D91">
              <w:rPr>
                <w:rFonts w:ascii="Arial Narrow" w:hAnsi="Arial Narrow" w:cs="Calibri"/>
                <w:b w:val="0"/>
                <w:sz w:val="20"/>
              </w:rPr>
              <w:t xml:space="preserve">obręb </w:t>
            </w:r>
            <w:r w:rsidRPr="00C17D91">
              <w:rPr>
                <w:rFonts w:ascii="Arial Narrow" w:hAnsi="Arial Narrow" w:cs="Calibri"/>
                <w:b w:val="0"/>
                <w:bCs/>
                <w:sz w:val="20"/>
              </w:rPr>
              <w:t>0001 Bobrek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851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-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852/1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-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852/3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KR1E/00060702/3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855/4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KR1E/00027264/7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855/5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KR1E/00027189/7</w:t>
            </w:r>
          </w:p>
        </w:tc>
      </w:tr>
      <w:tr w:rsidR="00C17D91" w:rsidRPr="00C17D91" w:rsidTr="008E1473">
        <w:trPr>
          <w:trHeight w:val="284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59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1773</w:t>
            </w:r>
          </w:p>
        </w:tc>
        <w:tc>
          <w:tcPr>
            <w:tcW w:w="1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D91" w:rsidRPr="00C17D91" w:rsidRDefault="00C17D91" w:rsidP="00C17D91">
            <w:pPr>
              <w:widowControl w:val="0"/>
              <w:spacing w:before="29" w:after="0" w:line="174" w:lineRule="exact"/>
              <w:ind w:left="15"/>
              <w:jc w:val="center"/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</w:pPr>
            <w:r w:rsidRPr="00C17D91">
              <w:rPr>
                <w:rFonts w:ascii="Arial Narrow" w:eastAsia="Arial" w:hAnsi="Arial Narrow" w:cs="Arial"/>
                <w:b w:val="0"/>
                <w:bCs/>
                <w:color w:val="000000"/>
                <w:w w:val="105"/>
                <w:sz w:val="20"/>
                <w:szCs w:val="16"/>
              </w:rPr>
              <w:t>KR1E/00056464/1</w:t>
            </w:r>
          </w:p>
        </w:tc>
      </w:tr>
    </w:tbl>
    <w:p w:rsidR="00C17D91" w:rsidRDefault="00C17D91" w:rsidP="00C17D91">
      <w:pPr>
        <w:spacing w:before="0" w:after="0" w:line="360" w:lineRule="auto"/>
        <w:rPr>
          <w:rFonts w:cs="Arial"/>
          <w:bCs/>
          <w:szCs w:val="24"/>
        </w:rPr>
        <w:sectPr w:rsidR="00C17D91" w:rsidSect="00C17D91">
          <w:endnotePr>
            <w:numFmt w:val="decimal"/>
          </w:endnotePr>
          <w:type w:val="continuous"/>
          <w:pgSz w:w="11907" w:h="16840"/>
          <w:pgMar w:top="851" w:right="1418" w:bottom="1418" w:left="1418" w:header="680" w:footer="680" w:gutter="0"/>
          <w:cols w:num="3" w:space="708"/>
          <w:docGrid w:linePitch="328"/>
          <w15:footnoteColumns w:val="1"/>
        </w:sectPr>
      </w:pPr>
    </w:p>
    <w:p w:rsidR="008B5320" w:rsidRPr="00EC1E55" w:rsidRDefault="008B5320" w:rsidP="00B346D2">
      <w:pPr>
        <w:spacing w:after="120" w:line="360" w:lineRule="auto"/>
        <w:rPr>
          <w:rFonts w:cs="Arial"/>
          <w:b w:val="0"/>
          <w:bCs/>
          <w:szCs w:val="24"/>
        </w:rPr>
      </w:pPr>
      <w:r w:rsidRPr="00EC1E55">
        <w:rPr>
          <w:rFonts w:cs="Arial"/>
          <w:bCs/>
          <w:szCs w:val="24"/>
        </w:rPr>
        <w:t xml:space="preserve">Obszar oddziaływania obiektu, a którym mowa w art. 28 ust. 2 ustawy z dnia 7 lipca 1994 r. </w:t>
      </w:r>
      <w:r w:rsidRPr="00EC1E55">
        <w:rPr>
          <w:rFonts w:cs="Arial"/>
          <w:bCs/>
          <w:i/>
          <w:iCs/>
          <w:szCs w:val="24"/>
        </w:rPr>
        <w:t xml:space="preserve">Prawo budowlane </w:t>
      </w:r>
      <w:r>
        <w:rPr>
          <w:rFonts w:cs="Arial"/>
          <w:bCs/>
          <w:szCs w:val="24"/>
        </w:rPr>
        <w:t>(Dz.U.2024.725 tekst jedn.</w:t>
      </w:r>
      <w:r w:rsidRPr="00EC1E55">
        <w:rPr>
          <w:rFonts w:cs="Arial"/>
          <w:bCs/>
          <w:szCs w:val="24"/>
        </w:rPr>
        <w:t>), nie wykracza poza teren objęty wnioskiem o pozwolenie na budowę.</w:t>
      </w:r>
    </w:p>
    <w:p w:rsidR="00C35E68" w:rsidRDefault="008B5320" w:rsidP="00C35E68">
      <w:pPr>
        <w:pStyle w:val="Trepisma"/>
        <w:spacing w:before="0"/>
        <w:rPr>
          <w:b/>
          <w:spacing w:val="-4"/>
          <w:szCs w:val="22"/>
        </w:rPr>
      </w:pPr>
      <w:r w:rsidRPr="00B346D2">
        <w:rPr>
          <w:b/>
          <w:spacing w:val="-4"/>
          <w:szCs w:val="22"/>
        </w:rPr>
        <w:t>Powyższy wykaz działek zawiera również działki pod pas budowlano-montażowy</w:t>
      </w:r>
      <w:bookmarkStart w:id="1" w:name="_Hlk40879425"/>
      <w:bookmarkStart w:id="2" w:name="_Hlk41376392"/>
      <w:r w:rsidR="00C35E68">
        <w:rPr>
          <w:b/>
          <w:spacing w:val="-4"/>
          <w:szCs w:val="22"/>
        </w:rPr>
        <w:t>.</w:t>
      </w:r>
    </w:p>
    <w:p w:rsidR="00C35E68" w:rsidRPr="00C35E68" w:rsidRDefault="00C35E68" w:rsidP="00C35E68">
      <w:pPr>
        <w:pStyle w:val="Trepisma"/>
        <w:spacing w:before="0"/>
        <w:rPr>
          <w:spacing w:val="-4"/>
        </w:rPr>
      </w:pPr>
    </w:p>
    <w:p w:rsidR="008B5320" w:rsidRPr="00A91A1A" w:rsidRDefault="008B5320" w:rsidP="00B346D2">
      <w:pPr>
        <w:spacing w:before="0" w:after="240" w:line="360" w:lineRule="auto"/>
        <w:rPr>
          <w:b w:val="0"/>
          <w:i/>
          <w:szCs w:val="24"/>
        </w:rPr>
      </w:pPr>
      <w:r w:rsidRPr="00A91A1A">
        <w:rPr>
          <w:b w:val="0"/>
          <w:spacing w:val="-4"/>
          <w:szCs w:val="24"/>
          <w:lang w:eastAsia="en-US"/>
        </w:rPr>
        <w:t xml:space="preserve">Jednocześnie na podstawie art. 9 ustawy </w:t>
      </w:r>
      <w:r w:rsidRPr="00A91A1A">
        <w:rPr>
          <w:b w:val="0"/>
          <w:i/>
          <w:spacing w:val="-4"/>
          <w:szCs w:val="24"/>
          <w:lang w:eastAsia="en-US"/>
        </w:rPr>
        <w:t>Kodeks postępowania administracyjnego</w:t>
      </w:r>
      <w:r w:rsidR="00741B6E">
        <w:rPr>
          <w:b w:val="0"/>
          <w:spacing w:val="-4"/>
          <w:szCs w:val="24"/>
          <w:lang w:eastAsia="en-US"/>
        </w:rPr>
        <w:t xml:space="preserve"> oraz </w:t>
      </w:r>
      <w:r w:rsidRPr="00A91A1A">
        <w:rPr>
          <w:b w:val="0"/>
          <w:spacing w:val="-4"/>
          <w:szCs w:val="24"/>
          <w:lang w:eastAsia="en-US"/>
        </w:rPr>
        <w:t>art. </w:t>
      </w:r>
      <w:r w:rsidRPr="00A91A1A">
        <w:rPr>
          <w:b w:val="0"/>
          <w:spacing w:val="-4"/>
          <w:szCs w:val="24"/>
        </w:rPr>
        <w:t>15</w:t>
      </w:r>
      <w:r w:rsidRPr="00A91A1A">
        <w:rPr>
          <w:b w:val="0"/>
          <w:szCs w:val="24"/>
        </w:rPr>
        <w:t xml:space="preserve"> ustawy </w:t>
      </w:r>
      <w:r w:rsidRPr="00A91A1A">
        <w:rPr>
          <w:b w:val="0"/>
          <w:i/>
          <w:szCs w:val="24"/>
        </w:rPr>
        <w:t>o inwestycjach w zakresie terminalu regazyfikacyjnego skroplonego gazu ziemnego w Świnoujściu,</w:t>
      </w:r>
    </w:p>
    <w:p w:rsidR="008B5320" w:rsidRPr="00CA4BD6" w:rsidRDefault="0091124D" w:rsidP="00B346D2">
      <w:pPr>
        <w:widowControl w:val="0"/>
        <w:suppressAutoHyphens/>
        <w:spacing w:before="0" w:after="240" w:line="360" w:lineRule="auto"/>
        <w:rPr>
          <w:b w:val="0"/>
          <w:szCs w:val="24"/>
        </w:rPr>
      </w:pPr>
      <w:r>
        <w:rPr>
          <w:szCs w:val="24"/>
        </w:rPr>
        <w:t>z</w:t>
      </w:r>
      <w:r w:rsidR="008B5320" w:rsidRPr="00CA4BD6">
        <w:rPr>
          <w:szCs w:val="24"/>
        </w:rPr>
        <w:t>awiadamiam</w:t>
      </w:r>
      <w:r w:rsidR="00A91A1A">
        <w:rPr>
          <w:szCs w:val="24"/>
        </w:rPr>
        <w:t>,</w:t>
      </w:r>
    </w:p>
    <w:p w:rsidR="00A91A1A" w:rsidRDefault="008B5320" w:rsidP="00B346D2">
      <w:pPr>
        <w:widowControl w:val="0"/>
        <w:suppressAutoHyphens/>
        <w:spacing w:before="0" w:after="240" w:line="360" w:lineRule="auto"/>
        <w:rPr>
          <w:b w:val="0"/>
          <w:szCs w:val="24"/>
        </w:rPr>
      </w:pPr>
      <w:r w:rsidRPr="00A91A1A">
        <w:rPr>
          <w:b w:val="0"/>
          <w:szCs w:val="24"/>
        </w:rPr>
        <w:t xml:space="preserve">iż w niniejszej sprawie wydano postanowienie znak: WI-II.7840.30.12.2024.EBu, na podstawie art. 35 ust. 3 i art. 82 ustawy z dnia 7 lipca 1994 r. </w:t>
      </w:r>
      <w:r w:rsidRPr="00A91A1A">
        <w:rPr>
          <w:b w:val="0"/>
          <w:i/>
          <w:szCs w:val="24"/>
        </w:rPr>
        <w:t xml:space="preserve">Prawo budowlane </w:t>
      </w:r>
      <w:r w:rsidRPr="00A91A1A">
        <w:rPr>
          <w:b w:val="0"/>
          <w:szCs w:val="24"/>
        </w:rPr>
        <w:t>(Dz.U.</w:t>
      </w:r>
      <w:r w:rsidRPr="00A91A1A">
        <w:rPr>
          <w:b w:val="0"/>
          <w:iCs/>
          <w:szCs w:val="24"/>
        </w:rPr>
        <w:t>2024.725 tekst jedn.</w:t>
      </w:r>
      <w:r w:rsidRPr="00A91A1A">
        <w:rPr>
          <w:b w:val="0"/>
          <w:szCs w:val="24"/>
        </w:rPr>
        <w:t xml:space="preserve">), art. 15 ustawy z dnia 24 kwietnia 2009 r. </w:t>
      </w:r>
      <w:r w:rsidRPr="00A91A1A">
        <w:rPr>
          <w:b w:val="0"/>
          <w:i/>
          <w:szCs w:val="24"/>
        </w:rPr>
        <w:t>o inwestycjach w zakresie terminalu regazyfikacyjnego skroplonego gazu ziemnego w Świno</w:t>
      </w:r>
      <w:r w:rsidRPr="00A91A1A">
        <w:rPr>
          <w:b w:val="0"/>
          <w:i/>
          <w:spacing w:val="-4"/>
          <w:szCs w:val="24"/>
        </w:rPr>
        <w:t>ujściu</w:t>
      </w:r>
      <w:r w:rsidRPr="00A91A1A">
        <w:rPr>
          <w:b w:val="0"/>
          <w:spacing w:val="-4"/>
          <w:szCs w:val="24"/>
        </w:rPr>
        <w:t xml:space="preserve"> (Dz.U.2024.551 tekst jedn.)</w:t>
      </w:r>
      <w:r w:rsidRPr="00A91A1A">
        <w:rPr>
          <w:b w:val="0"/>
          <w:i/>
          <w:spacing w:val="-4"/>
          <w:szCs w:val="24"/>
        </w:rPr>
        <w:t xml:space="preserve"> </w:t>
      </w:r>
      <w:r w:rsidRPr="00A91A1A">
        <w:rPr>
          <w:b w:val="0"/>
          <w:spacing w:val="-4"/>
          <w:szCs w:val="24"/>
        </w:rPr>
        <w:t>oraz na podstawie art. 77 § 1 i art. 123 ustawy z dnia 14 czerwca 1960 r.</w:t>
      </w:r>
      <w:r w:rsidRPr="00A91A1A">
        <w:rPr>
          <w:b w:val="0"/>
          <w:szCs w:val="24"/>
        </w:rPr>
        <w:t xml:space="preserve"> </w:t>
      </w:r>
      <w:r w:rsidRPr="00A91A1A">
        <w:rPr>
          <w:b w:val="0"/>
          <w:i/>
          <w:szCs w:val="24"/>
        </w:rPr>
        <w:t>Kodeks postępowania administracyjnego</w:t>
      </w:r>
      <w:r w:rsidRPr="00A91A1A">
        <w:rPr>
          <w:b w:val="0"/>
          <w:szCs w:val="24"/>
        </w:rPr>
        <w:t xml:space="preserve"> (Dz.U.2024.572 tekst jedn.), którym nałożono na inwestora obowiązek</w:t>
      </w:r>
      <w:r w:rsidR="00B346D2">
        <w:rPr>
          <w:b w:val="0"/>
          <w:szCs w:val="24"/>
        </w:rPr>
        <w:t xml:space="preserve"> usunięcia nieprawidłowości w </w:t>
      </w:r>
      <w:r w:rsidRPr="00A91A1A">
        <w:rPr>
          <w:b w:val="0"/>
          <w:szCs w:val="24"/>
        </w:rPr>
        <w:t>projekcie zagospodarowania terenu, projekcie a</w:t>
      </w:r>
      <w:r w:rsidR="00741B6E">
        <w:rPr>
          <w:b w:val="0"/>
          <w:szCs w:val="24"/>
        </w:rPr>
        <w:t>rchitektoniczno-budowlanym oraz </w:t>
      </w:r>
      <w:r w:rsidR="00A47CB0">
        <w:rPr>
          <w:b w:val="0"/>
          <w:szCs w:val="24"/>
        </w:rPr>
        <w:t>w załącznikach</w:t>
      </w:r>
      <w:r w:rsidRPr="00A91A1A">
        <w:rPr>
          <w:b w:val="0"/>
          <w:szCs w:val="24"/>
        </w:rPr>
        <w:t xml:space="preserve"> projektu budowlanego.</w:t>
      </w:r>
    </w:p>
    <w:p w:rsidR="008B5320" w:rsidRPr="00A91A1A" w:rsidRDefault="008B5320" w:rsidP="00B346D2">
      <w:pPr>
        <w:widowControl w:val="0"/>
        <w:suppressAutoHyphens/>
        <w:spacing w:before="0" w:after="240" w:line="360" w:lineRule="auto"/>
        <w:rPr>
          <w:b w:val="0"/>
          <w:szCs w:val="24"/>
        </w:rPr>
      </w:pPr>
      <w:r w:rsidRPr="00A91A1A">
        <w:rPr>
          <w:b w:val="0"/>
          <w:szCs w:val="24"/>
        </w:rPr>
        <w:t>Inwestor został poinformowany, iż po bezskutecznym upływie ww. terminu zostanie wydana decyzja o odmowie zatwierdzenia projektu budowlanego i udzielenia pozwolenia na budowę.</w:t>
      </w:r>
    </w:p>
    <w:p w:rsidR="008B5320" w:rsidRPr="00A91A1A" w:rsidRDefault="008B5320" w:rsidP="00B346D2">
      <w:pPr>
        <w:spacing w:before="0" w:after="240" w:line="360" w:lineRule="auto"/>
        <w:rPr>
          <w:b w:val="0"/>
          <w:spacing w:val="-2"/>
          <w:szCs w:val="24"/>
        </w:rPr>
      </w:pPr>
      <w:r w:rsidRPr="00A91A1A">
        <w:rPr>
          <w:b w:val="0"/>
          <w:szCs w:val="24"/>
        </w:rPr>
        <w:lastRenderedPageBreak/>
        <w:t>Na wyżej wymienione postanowienie nie służy zażalenie.</w:t>
      </w:r>
    </w:p>
    <w:p w:rsidR="008B5320" w:rsidRPr="00A91A1A" w:rsidRDefault="008B5320" w:rsidP="00A91A1A">
      <w:pPr>
        <w:widowControl w:val="0"/>
        <w:spacing w:line="360" w:lineRule="auto"/>
        <w:ind w:right="-1"/>
        <w:rPr>
          <w:bCs/>
          <w:iCs/>
          <w:color w:val="C00000"/>
          <w:szCs w:val="24"/>
        </w:rPr>
      </w:pPr>
      <w:bookmarkStart w:id="3" w:name="_Hlk40879516"/>
      <w:r w:rsidRPr="00A91A1A">
        <w:rPr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A91A1A">
        <w:rPr>
          <w:b w:val="0"/>
          <w:i/>
          <w:iCs/>
          <w:szCs w:val="24"/>
        </w:rPr>
        <w:t xml:space="preserve">Kodeksu postępowania administracyjnego, </w:t>
      </w:r>
      <w:r w:rsidR="00741B6E">
        <w:rPr>
          <w:b w:val="0"/>
          <w:iCs/>
          <w:szCs w:val="24"/>
        </w:rPr>
        <w:t>które </w:t>
      </w:r>
      <w:r w:rsidRPr="00A91A1A">
        <w:rPr>
          <w:b w:val="0"/>
          <w:iCs/>
          <w:szCs w:val="24"/>
        </w:rPr>
        <w:t xml:space="preserve">podlega opłacie skarbowej zgodnie z przepisami ustawy z dnia 16 listopada 2006 r. </w:t>
      </w:r>
      <w:r w:rsidRPr="00A91A1A">
        <w:rPr>
          <w:b w:val="0"/>
          <w:i/>
          <w:iCs/>
          <w:szCs w:val="24"/>
        </w:rPr>
        <w:t>o opłacie skarbowej</w:t>
      </w:r>
      <w:r w:rsidRPr="00A91A1A">
        <w:rPr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</w:t>
      </w:r>
      <w:r w:rsidR="00B346D2">
        <w:rPr>
          <w:b w:val="0"/>
          <w:iCs/>
          <w:szCs w:val="24"/>
        </w:rPr>
        <w:t>y: WI</w:t>
      </w:r>
      <w:r w:rsidR="00B346D2">
        <w:rPr>
          <w:b w:val="0"/>
          <w:iCs/>
          <w:szCs w:val="24"/>
        </w:rPr>
        <w:noBreakHyphen/>
        <w:t>II.7840.30.12.2024.EBu) w </w:t>
      </w:r>
      <w:r w:rsidRPr="00A91A1A">
        <w:rPr>
          <w:b w:val="0"/>
          <w:iCs/>
          <w:szCs w:val="24"/>
        </w:rPr>
        <w:t>Wydziale Infrastruktury Małopolskiego Urzędu Woje</w:t>
      </w:r>
      <w:r w:rsidR="00B346D2">
        <w:rPr>
          <w:b w:val="0"/>
          <w:iCs/>
          <w:szCs w:val="24"/>
        </w:rPr>
        <w:t>wódzkiego w Krakowie, ul. </w:t>
      </w:r>
      <w:r w:rsidRPr="00A91A1A">
        <w:rPr>
          <w:b w:val="0"/>
          <w:iCs/>
          <w:szCs w:val="24"/>
        </w:rPr>
        <w:t>Basztowa 22, pokój nr 69, w dniach pracy Urzędu, poniedziałek w godzinach 9.00 – 17.00, wtorek – piątek w godzinach 7.30 – 15.30, po uprzednim umówieniu – telefon kontaktowy nr 12 39 21 668.</w:t>
      </w:r>
    </w:p>
    <w:p w:rsidR="008B5320" w:rsidRPr="00A91A1A" w:rsidRDefault="008B5320" w:rsidP="008B5320">
      <w:pPr>
        <w:spacing w:line="360" w:lineRule="auto"/>
        <w:rPr>
          <w:rFonts w:eastAsia="Calibri"/>
          <w:b w:val="0"/>
          <w:szCs w:val="24"/>
          <w:u w:val="single"/>
          <w:lang w:eastAsia="en-US"/>
        </w:rPr>
      </w:pPr>
      <w:r w:rsidRPr="00A91A1A">
        <w:rPr>
          <w:rFonts w:eastAsia="Calibri"/>
          <w:b w:val="0"/>
          <w:szCs w:val="24"/>
          <w:u w:val="single"/>
          <w:lang w:eastAsia="en-US"/>
        </w:rPr>
        <w:t>Pouczenie:</w:t>
      </w:r>
    </w:p>
    <w:p w:rsidR="008B5320" w:rsidRPr="00A91A1A" w:rsidRDefault="008B5320" w:rsidP="008B5320">
      <w:pPr>
        <w:widowControl w:val="0"/>
        <w:spacing w:line="360" w:lineRule="auto"/>
        <w:ind w:right="-1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 xml:space="preserve">Zgodnie z art. 41 </w:t>
      </w:r>
      <w:r w:rsidRPr="00A91A1A">
        <w:rPr>
          <w:b w:val="0"/>
          <w:i/>
          <w:iCs/>
          <w:szCs w:val="24"/>
        </w:rPr>
        <w:t>Kodeksu postępowania administracyjnego</w:t>
      </w:r>
      <w:r w:rsidRPr="00A91A1A">
        <w:rPr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:rsidR="008B5320" w:rsidRPr="00A91A1A" w:rsidRDefault="008B5320" w:rsidP="008B5320">
      <w:pPr>
        <w:widowControl w:val="0"/>
        <w:spacing w:line="360" w:lineRule="auto"/>
        <w:ind w:right="-1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 xml:space="preserve">Zgodnie z art. 15 ust. 4 ustawy z dnia 24 kwietnia 2009 r. </w:t>
      </w:r>
      <w:r w:rsidRPr="00A91A1A">
        <w:rPr>
          <w:b w:val="0"/>
          <w:i/>
          <w:iCs/>
          <w:szCs w:val="24"/>
        </w:rPr>
        <w:t>o inwestycjach w zakresie terminalu regazyfikacyjnego skroplonego gazu ziemnego w Świnoujściu (</w:t>
      </w:r>
      <w:r w:rsidRPr="00A91A1A">
        <w:rPr>
          <w:b w:val="0"/>
          <w:iCs/>
          <w:szCs w:val="24"/>
        </w:rPr>
        <w:t>Dz.U.2024.551 tekst jedn.), 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:rsidR="008B5320" w:rsidRPr="00A91A1A" w:rsidRDefault="008B5320" w:rsidP="008B5320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4" w:name="_Hlk140669445"/>
      <w:r w:rsidRPr="00A91A1A">
        <w:rPr>
          <w:b w:val="0"/>
          <w:iCs/>
          <w:szCs w:val="24"/>
        </w:rPr>
        <w:t>wnioskodawcę, wysyłając zawiadomienie na adres wskazany we wniosku;</w:t>
      </w:r>
    </w:p>
    <w:p w:rsidR="008B5320" w:rsidRPr="00A91A1A" w:rsidRDefault="008B5320" w:rsidP="008B5320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>właścicieli i użytkowników wieczystych nieruch</w:t>
      </w:r>
      <w:r w:rsidR="00741B6E">
        <w:rPr>
          <w:b w:val="0"/>
          <w:iCs/>
          <w:szCs w:val="24"/>
        </w:rPr>
        <w:t>omości objętych wnioskiem, przy </w:t>
      </w:r>
      <w:r w:rsidRPr="00A91A1A">
        <w:rPr>
          <w:b w:val="0"/>
          <w:iCs/>
          <w:szCs w:val="24"/>
        </w:rPr>
        <w:t>czym zawiadomienia wysyła się na adres określony w katastrze nieruchomości ze skutkiem doręczenia;</w:t>
      </w:r>
    </w:p>
    <w:p w:rsidR="008B5320" w:rsidRPr="00A91A1A" w:rsidRDefault="008B5320" w:rsidP="008B5320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urzędu wojewódzkiego, </w:t>
      </w:r>
      <w:r w:rsidRPr="00A91A1A">
        <w:rPr>
          <w:b w:val="0"/>
          <w:iCs/>
          <w:szCs w:val="24"/>
        </w:rPr>
        <w:lastRenderedPageBreak/>
        <w:t>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:rsidR="008B5320" w:rsidRDefault="008B5320" w:rsidP="00A91A1A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>właściwe miejscowo organy w sprawach, o któr</w:t>
      </w:r>
      <w:r w:rsidR="00741B6E">
        <w:rPr>
          <w:b w:val="0"/>
          <w:iCs/>
          <w:szCs w:val="24"/>
        </w:rPr>
        <w:t>ych mowa w ust. 2 pkt 2-4, przy </w:t>
      </w:r>
      <w:r w:rsidRPr="00A91A1A">
        <w:rPr>
          <w:b w:val="0"/>
          <w:iCs/>
          <w:szCs w:val="24"/>
        </w:rPr>
        <w:t>czym wójt (burmistrz, prezydent miasta, s</w:t>
      </w:r>
      <w:r w:rsidR="00741B6E">
        <w:rPr>
          <w:b w:val="0"/>
          <w:iCs/>
          <w:szCs w:val="24"/>
        </w:rPr>
        <w:t>tarosta) niezwłocznie ogłasza o </w:t>
      </w:r>
      <w:r w:rsidRPr="00A91A1A">
        <w:rPr>
          <w:b w:val="0"/>
          <w:iCs/>
          <w:szCs w:val="24"/>
        </w:rPr>
        <w:t>wszczęciu postępowania w Biuletynie Informacji Publicznej, na stronie podmiotowej urzędu.</w:t>
      </w:r>
      <w:bookmarkEnd w:id="4"/>
    </w:p>
    <w:p w:rsidR="00A91A1A" w:rsidRPr="00A91A1A" w:rsidRDefault="00A91A1A" w:rsidP="00A91A1A">
      <w:pPr>
        <w:spacing w:before="0" w:after="0" w:line="360" w:lineRule="auto"/>
        <w:ind w:left="284"/>
        <w:rPr>
          <w:b w:val="0"/>
          <w:iCs/>
          <w:szCs w:val="24"/>
        </w:rPr>
      </w:pPr>
    </w:p>
    <w:p w:rsidR="008B5320" w:rsidRPr="00A91A1A" w:rsidRDefault="008B5320" w:rsidP="008B5320">
      <w:pPr>
        <w:widowControl w:val="0"/>
        <w:spacing w:line="360" w:lineRule="auto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A91A1A">
        <w:rPr>
          <w:b w:val="0"/>
          <w:i/>
          <w:iCs/>
          <w:szCs w:val="24"/>
        </w:rPr>
        <w:t>o inwestycjach w zakresie terminalu regazyfikacyjnego skroplonego gazu ziemnego w Świnoujściu</w:t>
      </w:r>
      <w:r w:rsidRPr="00A91A1A">
        <w:rPr>
          <w:b w:val="0"/>
          <w:iCs/>
          <w:szCs w:val="24"/>
        </w:rPr>
        <w:t xml:space="preserve">, stosuje się odpowiednio, zatem w przypadku, gdy po doręczeniu niniejszego zawiadomienia nastąpi </w:t>
      </w:r>
      <w:r w:rsidRPr="00A91A1A">
        <w:rPr>
          <w:b w:val="0"/>
          <w:i/>
          <w:iCs/>
          <w:szCs w:val="24"/>
        </w:rPr>
        <w:t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ustaleniu lokalizacji inwestycji w zakresie terminalu</w:t>
      </w:r>
      <w:r w:rsidRPr="00A91A1A">
        <w:rPr>
          <w:b w:val="0"/>
          <w:iCs/>
          <w:szCs w:val="24"/>
        </w:rPr>
        <w:t xml:space="preserve"> – nabywca i zbywca, są obowiązani do zgłoszenia właściwemu wojewodzie danych nowego właściciela lub użytkownika wieczystego.</w:t>
      </w:r>
    </w:p>
    <w:p w:rsidR="008B5320" w:rsidRPr="00A91A1A" w:rsidRDefault="008B5320" w:rsidP="008B5320">
      <w:pPr>
        <w:widowControl w:val="0"/>
        <w:spacing w:line="360" w:lineRule="auto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 xml:space="preserve">Zgodnie z art. 12 ust. 1a ww. ustawy w przypadku nieuregulowanego stanu prawnego nieruchomości objętych wnioskiem o </w:t>
      </w:r>
      <w:r w:rsidR="00B346D2">
        <w:rPr>
          <w:b w:val="0"/>
          <w:iCs/>
          <w:szCs w:val="24"/>
        </w:rPr>
        <w:t>wydanie decyzji o pozwoleniu na </w:t>
      </w:r>
      <w:r w:rsidRPr="00A91A1A">
        <w:rPr>
          <w:b w:val="0"/>
          <w:iCs/>
          <w:szCs w:val="24"/>
        </w:rPr>
        <w:t>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</w:t>
      </w:r>
      <w:r w:rsidR="00C17D91">
        <w:rPr>
          <w:b w:val="0"/>
          <w:iCs/>
          <w:szCs w:val="24"/>
        </w:rPr>
        <w:t xml:space="preserve"> </w:t>
      </w:r>
      <w:r w:rsidRPr="00A91A1A">
        <w:rPr>
          <w:b w:val="0"/>
        </w:rPr>
        <w:t>wydanie</w:t>
      </w:r>
      <w:r w:rsidRPr="00A91A1A">
        <w:rPr>
          <w:b w:val="0"/>
          <w:iCs/>
          <w:szCs w:val="24"/>
        </w:rPr>
        <w:t xml:space="preserve"> decyzji o pozwoleniu na budowę inwestycji w zakresie terminalu następuje w drodze obwieszczenia. Przez nieuregulowany stan prawny należy rozumieć także sytuację, kiedy dotychczasowy właściciel lub użytkow</w:t>
      </w:r>
      <w:r w:rsidR="00741B6E">
        <w:rPr>
          <w:b w:val="0"/>
          <w:iCs/>
          <w:szCs w:val="24"/>
        </w:rPr>
        <w:t>nik wieczysty nieruchomości nie </w:t>
      </w:r>
      <w:r w:rsidRPr="00A91A1A">
        <w:rPr>
          <w:b w:val="0"/>
          <w:iCs/>
          <w:szCs w:val="24"/>
        </w:rPr>
        <w:t>żyje, a spadkobiercy nie wykazali prawa do spadku.</w:t>
      </w:r>
    </w:p>
    <w:p w:rsidR="008B5320" w:rsidRPr="00CA4BD6" w:rsidRDefault="008B5320" w:rsidP="008B5320">
      <w:pPr>
        <w:widowControl w:val="0"/>
        <w:spacing w:line="360" w:lineRule="auto"/>
        <w:ind w:right="-1"/>
        <w:rPr>
          <w:b w:val="0"/>
          <w:iCs/>
          <w:szCs w:val="24"/>
        </w:rPr>
      </w:pPr>
      <w:r w:rsidRPr="00CA4BD6">
        <w:rPr>
          <w:iCs/>
          <w:szCs w:val="24"/>
        </w:rPr>
        <w:lastRenderedPageBreak/>
        <w:t xml:space="preserve">Zgodnie z art. 49 </w:t>
      </w:r>
      <w:r w:rsidRPr="00CA4BD6">
        <w:rPr>
          <w:i/>
          <w:iCs/>
          <w:szCs w:val="24"/>
        </w:rPr>
        <w:t>Kodeksu postępowania administracyjnego</w:t>
      </w:r>
      <w:r w:rsidRPr="00CA4BD6">
        <w:rPr>
          <w:iCs/>
          <w:szCs w:val="24"/>
        </w:rPr>
        <w:t xml:space="preserve"> doręczenie uważa się za dokonane po upływie 14 dni od dnia publicznego ogłoszenia.</w:t>
      </w:r>
    </w:p>
    <w:p w:rsidR="008B5320" w:rsidRPr="00A91A1A" w:rsidRDefault="008B5320" w:rsidP="008B5320">
      <w:pPr>
        <w:widowControl w:val="0"/>
        <w:spacing w:line="360" w:lineRule="auto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>Obwieszczenie podlega publikacji:</w:t>
      </w:r>
    </w:p>
    <w:p w:rsidR="008B5320" w:rsidRPr="00A91A1A" w:rsidRDefault="008B5320" w:rsidP="008B5320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5" w:name="_Hlk140669490"/>
      <w:bookmarkEnd w:id="1"/>
      <w:bookmarkEnd w:id="2"/>
      <w:bookmarkEnd w:id="3"/>
      <w:r w:rsidRPr="00A91A1A">
        <w:rPr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A91A1A">
        <w:rPr>
          <w:b w:val="0"/>
          <w:i/>
          <w:iCs/>
          <w:szCs w:val="24"/>
        </w:rPr>
        <w:t>o inwestycjach w zakresie terminalu regazyfikacyjnego skroplonego gazu ziemnego w Świnoujściu</w:t>
      </w:r>
      <w:r w:rsidRPr="00A91A1A">
        <w:rPr>
          <w:b w:val="0"/>
          <w:iCs/>
          <w:szCs w:val="24"/>
        </w:rPr>
        <w:t>);</w:t>
      </w:r>
      <w:r w:rsidR="00C17D91">
        <w:rPr>
          <w:b w:val="0"/>
          <w:iCs/>
          <w:szCs w:val="24"/>
        </w:rPr>
        <w:t xml:space="preserve"> </w:t>
      </w:r>
    </w:p>
    <w:p w:rsidR="008B5320" w:rsidRPr="00741B6E" w:rsidRDefault="008B5320" w:rsidP="008B5320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741B6E">
        <w:rPr>
          <w:b w:val="0"/>
          <w:iCs/>
          <w:szCs w:val="24"/>
        </w:rPr>
        <w:t>na tablicy ogłoszeń, na stronie internetowej i w Biuletynach Informacji Publicznej:</w:t>
      </w:r>
    </w:p>
    <w:p w:rsidR="008B5320" w:rsidRPr="00741B6E" w:rsidRDefault="008B5320" w:rsidP="00741B6E">
      <w:pPr>
        <w:spacing w:before="0" w:after="0" w:line="360" w:lineRule="auto"/>
        <w:ind w:left="284"/>
        <w:rPr>
          <w:b w:val="0"/>
          <w:iCs/>
          <w:color w:val="C00000"/>
          <w:szCs w:val="24"/>
        </w:rPr>
      </w:pPr>
      <w:r w:rsidRPr="00741B6E">
        <w:rPr>
          <w:b w:val="0"/>
          <w:szCs w:val="24"/>
        </w:rPr>
        <w:t>Urzędu Gminy Chełmek,</w:t>
      </w:r>
      <w:r w:rsidR="00741B6E" w:rsidRPr="00741B6E">
        <w:rPr>
          <w:b w:val="0"/>
          <w:iCs/>
          <w:szCs w:val="24"/>
        </w:rPr>
        <w:t xml:space="preserve"> </w:t>
      </w:r>
      <w:r w:rsidR="00741B6E" w:rsidRPr="00741B6E">
        <w:rPr>
          <w:b w:val="0"/>
          <w:szCs w:val="24"/>
        </w:rPr>
        <w:t>właściwego</w:t>
      </w:r>
      <w:r w:rsidRPr="00741B6E">
        <w:rPr>
          <w:b w:val="0"/>
          <w:szCs w:val="24"/>
        </w:rPr>
        <w:t xml:space="preserve"> ze względu na lokalizację inwestycji w zakresie terminalu (art. 8 ust. 1 pkt 3 i 4 ww. ustawy);</w:t>
      </w:r>
    </w:p>
    <w:p w:rsidR="008B5320" w:rsidRPr="00A91A1A" w:rsidRDefault="008B5320" w:rsidP="008B5320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A91A1A">
        <w:rPr>
          <w:b w:val="0"/>
          <w:iCs/>
          <w:szCs w:val="24"/>
        </w:rPr>
        <w:t>w prasie o zasięgu ogólnopolskim (art. 8 ust. 1 pkt 3 ww. ustawy).</w:t>
      </w:r>
      <w:bookmarkEnd w:id="5"/>
    </w:p>
    <w:sectPr w:rsidR="008B5320" w:rsidRPr="00A91A1A" w:rsidSect="00C17D91">
      <w:endnotePr>
        <w:numFmt w:val="decimal"/>
      </w:endnotePr>
      <w:type w:val="continuous"/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50" w:rsidRPr="00992282" w:rsidRDefault="00190650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:rsidR="00190650" w:rsidRPr="00992282" w:rsidRDefault="00190650" w:rsidP="00EC59B5">
      <w:pPr>
        <w:rPr>
          <w:sz w:val="16"/>
          <w:szCs w:val="16"/>
        </w:rPr>
      </w:pPr>
    </w:p>
  </w:endnote>
  <w:endnote w:type="continuationSeparator" w:id="0">
    <w:p w:rsidR="00190650" w:rsidRPr="00992282" w:rsidRDefault="00190650" w:rsidP="00992282">
      <w:pPr>
        <w:pStyle w:val="Stopka"/>
        <w:rPr>
          <w:sz w:val="16"/>
          <w:szCs w:val="16"/>
        </w:rPr>
      </w:pPr>
    </w:p>
  </w:endnote>
  <w:endnote w:type="continuationNotice" w:id="1">
    <w:p w:rsidR="00190650" w:rsidRPr="00A67351" w:rsidRDefault="00190650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C" w:rsidRDefault="00876790" w:rsidP="00B346D2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693350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29" w:rsidRDefault="000B2E29">
    <w:pPr>
      <w:pStyle w:val="Stopka"/>
    </w:pPr>
  </w:p>
  <w:p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50" w:rsidRDefault="00190650" w:rsidP="002F6204">
      <w:r>
        <w:separator/>
      </w:r>
    </w:p>
    <w:p w:rsidR="00190650" w:rsidRDefault="00190650"/>
    <w:p w:rsidR="00190650" w:rsidRDefault="00190650" w:rsidP="00EC59B5"/>
  </w:footnote>
  <w:footnote w:type="continuationSeparator" w:id="0">
    <w:p w:rsidR="00190650" w:rsidRDefault="00190650" w:rsidP="002F6204">
      <w:r>
        <w:continuationSeparator/>
      </w:r>
    </w:p>
    <w:p w:rsidR="00190650" w:rsidRDefault="00190650"/>
    <w:p w:rsidR="00190650" w:rsidRDefault="00190650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F" w:rsidRDefault="005A5B0F" w:rsidP="00F7089F">
    <w:pPr>
      <w:pStyle w:val="Nagwek"/>
      <w:tabs>
        <w:tab w:val="clear" w:pos="4536"/>
        <w:tab w:val="clear" w:pos="9072"/>
      </w:tabs>
      <w:jc w:val="both"/>
    </w:pPr>
  </w:p>
  <w:p w:rsidR="00C17D91" w:rsidRPr="00F32D00" w:rsidRDefault="00C17D91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0241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90650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A0999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3350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41B6E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B5320"/>
    <w:rsid w:val="008C7994"/>
    <w:rsid w:val="008F57DA"/>
    <w:rsid w:val="008F734B"/>
    <w:rsid w:val="00906E00"/>
    <w:rsid w:val="00910173"/>
    <w:rsid w:val="0091124D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47CB0"/>
    <w:rsid w:val="00A618E2"/>
    <w:rsid w:val="00A63FB9"/>
    <w:rsid w:val="00A67351"/>
    <w:rsid w:val="00A813FE"/>
    <w:rsid w:val="00A87A1F"/>
    <w:rsid w:val="00A91A1A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346D2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17D91"/>
    <w:rsid w:val="00C35E68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0B2C"/>
    <w:rsid w:val="00E37D23"/>
    <w:rsid w:val="00E6587A"/>
    <w:rsid w:val="00E809E9"/>
    <w:rsid w:val="00EA704C"/>
    <w:rsid w:val="00EC59B5"/>
    <w:rsid w:val="00ED0B6B"/>
    <w:rsid w:val="00ED36DA"/>
    <w:rsid w:val="00EF4220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5F22-2D7A-489E-B3FC-75F55A41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Ewa Burkot</cp:lastModifiedBy>
  <cp:revision>2</cp:revision>
  <cp:lastPrinted>2024-01-11T11:25:00Z</cp:lastPrinted>
  <dcterms:created xsi:type="dcterms:W3CDTF">2024-07-22T08:05:00Z</dcterms:created>
  <dcterms:modified xsi:type="dcterms:W3CDTF">2024-07-22T08:05:00Z</dcterms:modified>
</cp:coreProperties>
</file>